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927B" w14:textId="77777777" w:rsidR="00F766A4" w:rsidRDefault="00000000">
      <w:pPr>
        <w:pStyle w:val="2"/>
        <w:widowControl/>
        <w:shd w:val="clear" w:color="auto" w:fill="FFFFFF"/>
        <w:spacing w:before="150" w:beforeAutospacing="0" w:after="0" w:afterAutospacing="0" w:line="560" w:lineRule="exact"/>
        <w:jc w:val="center"/>
        <w:rPr>
          <w:rFonts w:ascii="方正小标宋_GBK" w:eastAsia="方正小标宋_GBK" w:hAnsi="方正小标宋_GBK" w:cs="方正小标宋_GBK"/>
          <w:b w:val="0"/>
          <w:bCs/>
          <w:color w:val="333333"/>
          <w:sz w:val="44"/>
          <w:szCs w:val="44"/>
        </w:rPr>
      </w:pPr>
      <w:r>
        <w:rPr>
          <w:rFonts w:ascii="方正小标宋_GBK" w:eastAsia="方正小标宋_GBK" w:hAnsi="方正小标宋_GBK" w:cs="方正小标宋_GBK"/>
          <w:b w:val="0"/>
          <w:bCs/>
          <w:color w:val="333333"/>
          <w:sz w:val="44"/>
          <w:szCs w:val="44"/>
          <w:shd w:val="clear" w:color="auto" w:fill="FFFFFF"/>
        </w:rPr>
        <w:t>关于</w:t>
      </w:r>
      <w:r>
        <w:rPr>
          <w:rFonts w:ascii="方正小标宋_GBK" w:eastAsia="方正小标宋_GBK" w:hAnsi="方正小标宋_GBK" w:cs="方正小标宋_GBK" w:hint="default"/>
          <w:b w:val="0"/>
          <w:bCs/>
          <w:color w:val="333333"/>
          <w:sz w:val="44"/>
          <w:szCs w:val="44"/>
          <w:shd w:val="clear" w:color="auto" w:fill="FFFFFF"/>
        </w:rPr>
        <w:t>《长春市</w:t>
      </w:r>
      <w:r>
        <w:rPr>
          <w:rFonts w:ascii="方正小标宋_GBK" w:eastAsia="方正小标宋_GBK" w:hAnsi="方正小标宋_GBK" w:cs="方正小标宋_GBK"/>
          <w:b w:val="0"/>
          <w:bCs/>
          <w:color w:val="333333"/>
          <w:sz w:val="44"/>
          <w:szCs w:val="44"/>
          <w:shd w:val="clear" w:color="auto" w:fill="FFFFFF"/>
        </w:rPr>
        <w:t>企业研发投入后补助实施办法</w:t>
      </w:r>
      <w:r>
        <w:rPr>
          <w:rFonts w:ascii="方正小标宋_GBK" w:eastAsia="方正小标宋_GBK" w:hAnsi="方正小标宋_GBK" w:cs="方正小标宋_GBK" w:hint="default"/>
          <w:b w:val="0"/>
          <w:bCs/>
          <w:color w:val="333333"/>
          <w:sz w:val="44"/>
          <w:szCs w:val="44"/>
          <w:shd w:val="clear" w:color="auto" w:fill="FFFFFF"/>
        </w:rPr>
        <w:t>》</w:t>
      </w:r>
      <w:r>
        <w:rPr>
          <w:rFonts w:ascii="方正小标宋_GBK" w:eastAsia="方正小标宋_GBK" w:hAnsi="方正小标宋_GBK" w:cs="方正小标宋_GBK"/>
          <w:b w:val="0"/>
          <w:bCs/>
          <w:color w:val="333333"/>
          <w:sz w:val="44"/>
          <w:szCs w:val="44"/>
          <w:shd w:val="clear" w:color="auto" w:fill="FFFFFF"/>
        </w:rPr>
        <w:t>的政策解读</w:t>
      </w:r>
    </w:p>
    <w:p w14:paraId="3BB04CC1" w14:textId="77777777" w:rsidR="00F766A4" w:rsidRDefault="00F766A4">
      <w:pPr>
        <w:widowControl/>
        <w:shd w:val="clear" w:color="auto" w:fill="FFFFFF"/>
        <w:spacing w:line="560" w:lineRule="exact"/>
        <w:ind w:firstLineChars="200" w:firstLine="640"/>
        <w:jc w:val="left"/>
        <w:rPr>
          <w:rFonts w:ascii="黑体" w:eastAsia="黑体" w:hAnsi="黑体" w:cs="黑体" w:hint="eastAsia"/>
          <w:color w:val="333333"/>
          <w:kern w:val="0"/>
          <w:sz w:val="32"/>
          <w:szCs w:val="32"/>
          <w:shd w:val="clear" w:color="auto" w:fill="FFFFFF"/>
          <w:lang w:bidi="ar"/>
        </w:rPr>
      </w:pPr>
    </w:p>
    <w:p w14:paraId="757D5A4F" w14:textId="77777777" w:rsidR="00F766A4" w:rsidRDefault="00000000">
      <w:pPr>
        <w:ind w:firstLine="705"/>
        <w:rPr>
          <w:rFonts w:ascii="黑体" w:eastAsia="黑体" w:hAnsi="黑体" w:hint="eastAsia"/>
          <w:sz w:val="32"/>
          <w:szCs w:val="32"/>
        </w:rPr>
      </w:pPr>
      <w:r>
        <w:rPr>
          <w:rFonts w:ascii="黑体" w:eastAsia="黑体" w:hAnsi="黑体" w:hint="eastAsia"/>
          <w:sz w:val="32"/>
          <w:szCs w:val="32"/>
        </w:rPr>
        <w:t>一、制定的必要性、可行性</w:t>
      </w:r>
    </w:p>
    <w:p w14:paraId="64FE6C80" w14:textId="77777777" w:rsidR="00F766A4" w:rsidRDefault="00000000">
      <w:pPr>
        <w:pStyle w:val="a3"/>
        <w:widowControl/>
        <w:spacing w:before="0" w:beforeAutospacing="0" w:after="0" w:afterAutospacing="0" w:line="560" w:lineRule="exact"/>
        <w:ind w:firstLineChars="200" w:firstLine="640"/>
        <w:jc w:val="both"/>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一是为深入贯彻</w:t>
      </w:r>
      <w:r>
        <w:rPr>
          <w:rFonts w:ascii="仿宋_GB2312" w:eastAsia="仿宋_GB2312" w:hAnsi="仿宋_GB2312" w:cs="仿宋_GB2312"/>
          <w:kern w:val="2"/>
          <w:sz w:val="32"/>
          <w:szCs w:val="32"/>
        </w:rPr>
        <w:t>党的二十届三中全会精神</w:t>
      </w:r>
      <w:r>
        <w:rPr>
          <w:rFonts w:ascii="仿宋_GB2312" w:eastAsia="仿宋_GB2312" w:hAnsi="仿宋_GB2312" w:cs="仿宋_GB2312" w:hint="eastAsia"/>
          <w:kern w:val="2"/>
          <w:sz w:val="32"/>
          <w:szCs w:val="32"/>
        </w:rPr>
        <w:t>，</w:t>
      </w:r>
      <w:r>
        <w:rPr>
          <w:rFonts w:ascii="仿宋_GB2312" w:eastAsia="仿宋_GB2312" w:hAnsi="仿宋_GB2312" w:cs="仿宋_GB2312"/>
          <w:kern w:val="2"/>
          <w:sz w:val="32"/>
          <w:szCs w:val="32"/>
        </w:rPr>
        <w:t>全面落实</w:t>
      </w:r>
      <w:r>
        <w:rPr>
          <w:rFonts w:ascii="仿宋_GB2312" w:eastAsia="仿宋_GB2312" w:hAnsi="仿宋_GB2312" w:cs="仿宋_GB2312" w:hint="eastAsia"/>
          <w:kern w:val="2"/>
          <w:sz w:val="32"/>
          <w:szCs w:val="32"/>
        </w:rPr>
        <w:t>市</w:t>
      </w:r>
      <w:r>
        <w:rPr>
          <w:rFonts w:ascii="仿宋_GB2312" w:eastAsia="仿宋_GB2312" w:hAnsi="仿宋_GB2312" w:cs="仿宋_GB2312"/>
          <w:kern w:val="2"/>
          <w:sz w:val="32"/>
          <w:szCs w:val="32"/>
        </w:rPr>
        <w:t>委</w:t>
      </w:r>
      <w:r>
        <w:rPr>
          <w:rFonts w:ascii="仿宋_GB2312" w:eastAsia="仿宋_GB2312" w:hAnsi="仿宋_GB2312" w:cs="仿宋_GB2312" w:hint="eastAsia"/>
          <w:kern w:val="2"/>
          <w:sz w:val="32"/>
          <w:szCs w:val="32"/>
        </w:rPr>
        <w:t>市</w:t>
      </w:r>
      <w:r>
        <w:rPr>
          <w:rFonts w:ascii="仿宋_GB2312" w:eastAsia="仿宋_GB2312" w:hAnsi="仿宋_GB2312" w:cs="仿宋_GB2312"/>
          <w:kern w:val="2"/>
          <w:sz w:val="32"/>
          <w:szCs w:val="32"/>
        </w:rPr>
        <w:t>政府决策部署，</w:t>
      </w:r>
      <w:r>
        <w:rPr>
          <w:rFonts w:ascii="仿宋_GB2312" w:eastAsia="仿宋_GB2312" w:hAnsi="仿宋_GB2312" w:cs="仿宋_GB2312" w:hint="eastAsia"/>
          <w:kern w:val="2"/>
          <w:sz w:val="32"/>
          <w:szCs w:val="32"/>
        </w:rPr>
        <w:t>积极引导我市企业持续加大研发投入，促进科技创新实力快速提升，</w:t>
      </w:r>
      <w:r>
        <w:rPr>
          <w:rFonts w:ascii="仿宋_GB2312" w:eastAsia="仿宋_GB2312" w:hAnsi="仿宋_GB2312" w:cs="仿宋_GB2312"/>
          <w:kern w:val="2"/>
          <w:sz w:val="32"/>
          <w:szCs w:val="32"/>
        </w:rPr>
        <w:t>加快形成新质生产力</w:t>
      </w:r>
      <w:r>
        <w:rPr>
          <w:rFonts w:ascii="仿宋_GB2312" w:eastAsia="仿宋_GB2312" w:hAnsi="仿宋_GB2312" w:cs="仿宋_GB2312" w:hint="eastAsia"/>
          <w:kern w:val="2"/>
          <w:sz w:val="32"/>
          <w:szCs w:val="32"/>
        </w:rPr>
        <w:t>，根据《长春市科技创新条例》和科技创新相关政策，有必要制定本办法。</w:t>
      </w:r>
    </w:p>
    <w:p w14:paraId="0F95689C" w14:textId="77777777" w:rsidR="00F766A4" w:rsidRDefault="00000000">
      <w:pPr>
        <w:pStyle w:val="a3"/>
        <w:widowControl/>
        <w:spacing w:before="0" w:beforeAutospacing="0" w:after="0" w:afterAutospacing="0" w:line="560" w:lineRule="exact"/>
        <w:ind w:firstLineChars="200" w:firstLine="640"/>
        <w:jc w:val="both"/>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二是研发投入对企业创新有着举足轻重的作用，研发投入的增加不仅能够推动企业的科技创新，而且能够影响企业的可持续发展。为促进我市科技创新实力快速提升，推动科技型企业高质量发展，有必要对企业研发投入进行引导和扶持。</w:t>
      </w:r>
    </w:p>
    <w:p w14:paraId="71DAD0AE" w14:textId="77777777" w:rsidR="00F766A4" w:rsidRDefault="00000000">
      <w:pPr>
        <w:pStyle w:val="a3"/>
        <w:widowControl/>
        <w:spacing w:before="0" w:beforeAutospacing="0" w:after="0" w:afterAutospacing="0" w:line="560" w:lineRule="exact"/>
        <w:ind w:firstLineChars="200" w:firstLine="640"/>
        <w:jc w:val="both"/>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三是吉林省科技厅2025年出台了《</w:t>
      </w:r>
      <w:r>
        <w:rPr>
          <w:rFonts w:ascii="仿宋_GB2312" w:eastAsia="仿宋_GB2312" w:hAnsi="仿宋_GB2312" w:cs="仿宋_GB2312"/>
          <w:kern w:val="2"/>
          <w:sz w:val="32"/>
          <w:szCs w:val="32"/>
        </w:rPr>
        <w:t>吉林省科技企业R&amp;D投入引导计划实施办法</w:t>
      </w:r>
      <w:r>
        <w:rPr>
          <w:rFonts w:ascii="仿宋_GB2312" w:eastAsia="仿宋_GB2312" w:hAnsi="仿宋_GB2312" w:cs="仿宋_GB2312" w:hint="eastAsia"/>
          <w:kern w:val="2"/>
          <w:sz w:val="32"/>
          <w:szCs w:val="32"/>
        </w:rPr>
        <w:t>》，其中的补助对象、补助办法和工作程序较2021年进行了调整并予以明确，我市有必要依据省里政策跟进制定本级政策。</w:t>
      </w:r>
    </w:p>
    <w:p w14:paraId="7284A343" w14:textId="77777777" w:rsidR="00F766A4" w:rsidRDefault="00000000">
      <w:pPr>
        <w:widowControl/>
        <w:ind w:right="329" w:firstLine="694"/>
        <w:jc w:val="left"/>
        <w:rPr>
          <w:rFonts w:ascii="黑体" w:eastAsia="黑体" w:hAnsi="黑体" w:cs="黑体" w:hint="eastAsia"/>
          <w:sz w:val="32"/>
          <w:szCs w:val="32"/>
        </w:rPr>
      </w:pPr>
      <w:r>
        <w:rPr>
          <w:rFonts w:ascii="黑体" w:eastAsia="黑体" w:hAnsi="黑体" w:cs="黑体" w:hint="eastAsia"/>
          <w:sz w:val="32"/>
          <w:szCs w:val="32"/>
        </w:rPr>
        <w:t>二、制定的依据</w:t>
      </w:r>
    </w:p>
    <w:p w14:paraId="65782B83" w14:textId="77777777" w:rsidR="00F766A4" w:rsidRDefault="00000000">
      <w:pPr>
        <w:ind w:firstLine="601"/>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《吉林省科技企业R&amp;D投入引导计划实施办法》。</w:t>
      </w:r>
    </w:p>
    <w:p w14:paraId="4E2A2944" w14:textId="77777777" w:rsidR="00F766A4" w:rsidRDefault="00000000">
      <w:pPr>
        <w:rPr>
          <w:rFonts w:ascii="黑体" w:eastAsia="黑体" w:hAnsi="黑体" w:hint="eastAsia"/>
          <w:sz w:val="32"/>
          <w:szCs w:val="32"/>
        </w:rPr>
      </w:pPr>
      <w:r>
        <w:rPr>
          <w:rFonts w:ascii="仿宋" w:eastAsia="仿宋" w:hAnsi="仿宋" w:hint="eastAsia"/>
          <w:sz w:val="32"/>
          <w:szCs w:val="32"/>
        </w:rPr>
        <w:t xml:space="preserve">    </w:t>
      </w:r>
      <w:r>
        <w:rPr>
          <w:rFonts w:ascii="黑体" w:eastAsia="黑体" w:hAnsi="黑体" w:hint="eastAsia"/>
          <w:sz w:val="32"/>
          <w:szCs w:val="32"/>
        </w:rPr>
        <w:t>三、主要内容</w:t>
      </w:r>
    </w:p>
    <w:p w14:paraId="427DE607" w14:textId="77777777" w:rsidR="00F766A4" w:rsidRDefault="00000000">
      <w:pPr>
        <w:pStyle w:val="a3"/>
        <w:widowControl/>
        <w:spacing w:before="0" w:beforeAutospacing="0" w:after="0" w:afterAutospacing="0" w:line="560" w:lineRule="exact"/>
        <w:ind w:firstLineChars="200" w:firstLine="640"/>
        <w:jc w:val="both"/>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本办法共六章，11条，包括总则、补助对象、补助办法、工作程序、资金管理、附则。</w:t>
      </w:r>
    </w:p>
    <w:p w14:paraId="72EE6997" w14:textId="77777777" w:rsidR="00F766A4" w:rsidRDefault="00000000">
      <w:pPr>
        <w:tabs>
          <w:tab w:val="left" w:pos="4483"/>
        </w:tabs>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第一章 总则。一是明确了制定办法的目的和依据；二</w:t>
      </w:r>
      <w:r>
        <w:rPr>
          <w:rFonts w:ascii="仿宋_GB2312" w:eastAsia="仿宋_GB2312" w:hAnsi="仿宋_GB2312" w:cs="仿宋_GB2312" w:hint="eastAsia"/>
          <w:sz w:val="32"/>
          <w:szCs w:val="32"/>
        </w:rPr>
        <w:lastRenderedPageBreak/>
        <w:t>是明确了研发投入后补助的概念和目标；三是明确了研发投入的概念和归集依据；四是指出了补助资金来源和补助对象确定方式。</w:t>
      </w:r>
    </w:p>
    <w:p w14:paraId="3F55B7E6" w14:textId="77777777" w:rsidR="00F766A4" w:rsidRDefault="00000000">
      <w:pPr>
        <w:ind w:firstLine="70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第二章 补助对象。一是明确了补助对象应为长春市域内企业及信用要求；二是明确了补助对象应为纳入统计部门研发费用统计范围的规模以上企业，且上一年度研发投入占主营业务收入不低于1%；三是明确了补助对象应在近两个年度所得税汇算清缴时，均已申报享受了研发费用加计扣除政策，且最近一年度相比较前一年度允许扣除的研发费用合计数额增量不低于20万元。</w:t>
      </w:r>
    </w:p>
    <w:p w14:paraId="567CB7B6" w14:textId="77777777" w:rsidR="00F766A4" w:rsidRDefault="00000000">
      <w:pPr>
        <w:pStyle w:val="a3"/>
        <w:shd w:val="clear" w:color="auto" w:fill="FFFFFF"/>
        <w:spacing w:before="0" w:beforeAutospacing="0" w:after="0" w:afterAutospacing="0" w:line="600" w:lineRule="exact"/>
        <w:ind w:firstLineChars="200" w:firstLine="640"/>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第三章 补助办法。明确了以企业近两个年度允许扣除的研发费用合计数额增量为基数，按不超过其5%计算财政补助资金，并以万元为单位，按舍去原则向下取整，补助金额不超过100万元。</w:t>
      </w:r>
    </w:p>
    <w:p w14:paraId="09A0B410" w14:textId="77777777" w:rsidR="00F766A4"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第四章 工作程序。一是收集市政府有关部门</w:t>
      </w:r>
      <w:r>
        <w:rPr>
          <w:rFonts w:ascii="仿宋_GB2312" w:eastAsia="仿宋_GB2312" w:hAnsi="仿宋_GB2312" w:cs="仿宋_GB2312"/>
          <w:sz w:val="32"/>
          <w:szCs w:val="32"/>
        </w:rPr>
        <w:t>企业</w:t>
      </w:r>
      <w:r>
        <w:rPr>
          <w:rFonts w:ascii="仿宋_GB2312" w:eastAsia="仿宋_GB2312" w:hAnsi="仿宋_GB2312" w:cs="仿宋_GB2312" w:hint="eastAsia"/>
          <w:sz w:val="32"/>
          <w:szCs w:val="32"/>
        </w:rPr>
        <w:t>研发</w:t>
      </w:r>
      <w:r>
        <w:rPr>
          <w:rFonts w:ascii="仿宋_GB2312" w:eastAsia="仿宋_GB2312" w:hAnsi="仿宋_GB2312" w:cs="仿宋_GB2312"/>
          <w:sz w:val="32"/>
          <w:szCs w:val="32"/>
        </w:rPr>
        <w:t>投入数据、</w:t>
      </w:r>
      <w:r>
        <w:rPr>
          <w:rFonts w:ascii="仿宋_GB2312" w:eastAsia="仿宋_GB2312" w:hAnsi="仿宋_GB2312" w:cs="仿宋_GB2312" w:hint="eastAsia"/>
          <w:sz w:val="32"/>
          <w:szCs w:val="32"/>
        </w:rPr>
        <w:t>入规入统情况；二是按照补助对象应具备条件进行形式审查；三是组织专家评审，核定补助金额，形成拟补助企业名单；四是面向社会公示（5个工作日），征询企业管理使用财政补助资金意愿及核查企业</w:t>
      </w:r>
      <w:r>
        <w:rPr>
          <w:rFonts w:ascii="仿宋_GB2312" w:eastAsia="仿宋_GB2312" w:hAnsi="仿宋_GB2312" w:cs="仿宋_GB2312"/>
          <w:sz w:val="32"/>
          <w:szCs w:val="32"/>
        </w:rPr>
        <w:t>信用惩戒信息</w:t>
      </w:r>
      <w:r>
        <w:rPr>
          <w:rFonts w:ascii="仿宋_GB2312" w:eastAsia="仿宋_GB2312" w:hAnsi="仿宋_GB2312" w:cs="仿宋_GB2312" w:hint="eastAsia"/>
          <w:sz w:val="32"/>
          <w:szCs w:val="32"/>
        </w:rPr>
        <w:t>；五是下达立项文件，兑现补助资金。</w:t>
      </w:r>
    </w:p>
    <w:p w14:paraId="75286F59" w14:textId="77777777" w:rsidR="00F766A4" w:rsidRDefault="00000000">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第五章 资金管理。一是明确了企业获得补助资金后的使用要求。二是明确了承担单位、专家及工作人员等各类主</w:t>
      </w:r>
      <w:r>
        <w:rPr>
          <w:rFonts w:ascii="仿宋_GB2312" w:eastAsia="仿宋_GB2312" w:hAnsi="仿宋_GB2312" w:cs="仿宋_GB2312" w:hint="eastAsia"/>
          <w:sz w:val="32"/>
          <w:szCs w:val="32"/>
        </w:rPr>
        <w:lastRenderedPageBreak/>
        <w:t>体，如存在违规违纪违法行为和违背科研诚信要求的处理依据。</w:t>
      </w:r>
    </w:p>
    <w:p w14:paraId="042B9E51" w14:textId="3D0388F0" w:rsidR="00F766A4" w:rsidRDefault="00C25050">
      <w:pPr>
        <w:pStyle w:val="a3"/>
        <w:widowControl/>
        <w:spacing w:before="0" w:beforeAutospacing="0" w:after="0" w:afterAutospacing="0" w:line="560" w:lineRule="exact"/>
        <w:ind w:firstLineChars="200" w:firstLine="640"/>
        <w:jc w:val="both"/>
        <w:rPr>
          <w:rFonts w:ascii="仿宋_GB2312" w:eastAsia="仿宋_GB2312" w:hAnsi="仿宋_GB2312" w:cs="仿宋_GB2312" w:hint="eastAsia"/>
          <w:color w:val="333333"/>
          <w:sz w:val="32"/>
          <w:szCs w:val="32"/>
          <w:shd w:val="clear" w:color="auto" w:fill="FFFFFF"/>
          <w:lang w:bidi="ar"/>
        </w:rPr>
      </w:pPr>
      <w:r w:rsidRPr="00C25050">
        <w:rPr>
          <w:rFonts w:ascii="仿宋_GB2312" w:eastAsia="仿宋_GB2312" w:hAnsi="仿宋_GB2312" w:cs="仿宋_GB2312" w:hint="eastAsia"/>
          <w:kern w:val="2"/>
          <w:sz w:val="32"/>
          <w:szCs w:val="32"/>
        </w:rPr>
        <w:t>第六章 附则。本办法由市科技局负责解释，自发布之日起施行。</w:t>
      </w:r>
      <w:r w:rsidR="00000000">
        <w:rPr>
          <w:rFonts w:ascii="仿宋_GB2312" w:eastAsia="仿宋_GB2312" w:hAnsi="仿宋_GB2312" w:cs="仿宋_GB2312" w:hint="eastAsia"/>
          <w:color w:val="333333"/>
          <w:sz w:val="32"/>
          <w:szCs w:val="32"/>
          <w:shd w:val="clear" w:color="auto" w:fill="FFFFFF"/>
          <w:lang w:bidi="ar"/>
        </w:rPr>
        <w:t> </w:t>
      </w:r>
    </w:p>
    <w:p w14:paraId="18653855" w14:textId="77777777" w:rsidR="00F766A4" w:rsidRDefault="00000000">
      <w:pPr>
        <w:pStyle w:val="a3"/>
        <w:widowControl/>
        <w:spacing w:before="0" w:beforeAutospacing="0" w:after="0" w:afterAutospacing="0" w:line="560" w:lineRule="exact"/>
        <w:jc w:val="both"/>
        <w:rPr>
          <w:rFonts w:ascii="仿宋_GB2312" w:eastAsia="仿宋_GB2312" w:hAnsi="仿宋_GB2312" w:cs="仿宋_GB2312" w:hint="eastAsia"/>
          <w:bCs/>
          <w:sz w:val="32"/>
          <w:szCs w:val="32"/>
        </w:rPr>
      </w:pPr>
      <w:r>
        <w:rPr>
          <w:rFonts w:ascii="仿宋_GB2312" w:eastAsia="仿宋_GB2312" w:hAnsi="仿宋_GB2312" w:cs="仿宋_GB2312" w:hint="eastAsia"/>
          <w:color w:val="6C6C6C"/>
          <w:sz w:val="32"/>
          <w:szCs w:val="32"/>
        </w:rPr>
        <w:t> </w:t>
      </w:r>
    </w:p>
    <w:sectPr w:rsidR="00F766A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1BF9" w14:textId="77777777" w:rsidR="006E305B" w:rsidRDefault="006E305B" w:rsidP="00C25050">
      <w:r>
        <w:separator/>
      </w:r>
    </w:p>
  </w:endnote>
  <w:endnote w:type="continuationSeparator" w:id="0">
    <w:p w14:paraId="73E53321" w14:textId="77777777" w:rsidR="006E305B" w:rsidRDefault="006E305B" w:rsidP="00C2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文星楷体">
    <w:altName w:val="@楷体"/>
    <w:charset w:val="86"/>
    <w:family w:val="modern"/>
    <w:pitch w:val="default"/>
    <w:sig w:usb0="00000000" w:usb1="00000000" w:usb2="00000010" w:usb3="00000000" w:csb0="00040000" w:csb1="00000000"/>
  </w:font>
  <w:font w:name="方正小标宋_GBK">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CC1E" w14:textId="77777777" w:rsidR="006E305B" w:rsidRDefault="006E305B" w:rsidP="00C25050">
      <w:r>
        <w:separator/>
      </w:r>
    </w:p>
  </w:footnote>
  <w:footnote w:type="continuationSeparator" w:id="0">
    <w:p w14:paraId="3A6F3F14" w14:textId="77777777" w:rsidR="006E305B" w:rsidRDefault="006E305B" w:rsidP="00C25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6A4"/>
    <w:rsid w:val="DD67256E"/>
    <w:rsid w:val="DF7388AA"/>
    <w:rsid w:val="DFF38D6C"/>
    <w:rsid w:val="E67CB1CF"/>
    <w:rsid w:val="EEFBA573"/>
    <w:rsid w:val="F53EBB5E"/>
    <w:rsid w:val="F6E7E424"/>
    <w:rsid w:val="F76F0C65"/>
    <w:rsid w:val="F7FFD316"/>
    <w:rsid w:val="FCBF055B"/>
    <w:rsid w:val="FD9F36BD"/>
    <w:rsid w:val="FEEB7020"/>
    <w:rsid w:val="FFF5B456"/>
    <w:rsid w:val="FFFB5A62"/>
    <w:rsid w:val="006E305B"/>
    <w:rsid w:val="00795F9E"/>
    <w:rsid w:val="00C25050"/>
    <w:rsid w:val="00F766A4"/>
    <w:rsid w:val="2F5C0E76"/>
    <w:rsid w:val="3EAB0813"/>
    <w:rsid w:val="3FF94EDB"/>
    <w:rsid w:val="4EACE146"/>
    <w:rsid w:val="579317E5"/>
    <w:rsid w:val="5BEE4298"/>
    <w:rsid w:val="5F5D9FB1"/>
    <w:rsid w:val="77D37666"/>
    <w:rsid w:val="7DB75131"/>
    <w:rsid w:val="ABFF654A"/>
    <w:rsid w:val="B6F9B912"/>
    <w:rsid w:val="CEDEF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89BD4"/>
  <w15:docId w15:val="{CF1B357A-3CC7-4EF5-A6FB-D34C62E1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ascii="Calibri" w:hAnsi="Calibri"/>
      <w:kern w:val="2"/>
      <w:sz w:val="21"/>
      <w:szCs w:val="24"/>
    </w:rPr>
  </w:style>
  <w:style w:type="paragraph" w:styleId="2">
    <w:name w:val="heading 2"/>
    <w:basedOn w:val="a"/>
    <w:next w:val="a"/>
    <w:unhideWhenUsed/>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宋体" w:hAnsi="@文星楷体" w:cs="宋体"/>
      <w:color w:val="000000"/>
      <w:sz w:val="24"/>
      <w:szCs w:val="24"/>
    </w:rPr>
  </w:style>
  <w:style w:type="paragraph" w:styleId="a3">
    <w:name w:val="Normal (Web)"/>
    <w:basedOn w:val="a"/>
    <w:pPr>
      <w:spacing w:before="100" w:beforeAutospacing="1" w:after="100" w:afterAutospacing="1"/>
      <w:jc w:val="left"/>
    </w:pPr>
    <w:rPr>
      <w:kern w:val="0"/>
      <w:sz w:val="24"/>
    </w:rPr>
  </w:style>
  <w:style w:type="character" w:styleId="a4">
    <w:name w:val="Hyperlink"/>
    <w:basedOn w:val="a0"/>
    <w:rPr>
      <w:color w:val="0000FF"/>
      <w:u w:val="single"/>
    </w:rPr>
  </w:style>
  <w:style w:type="paragraph" w:styleId="a5">
    <w:name w:val="header"/>
    <w:basedOn w:val="a"/>
    <w:link w:val="a6"/>
    <w:rsid w:val="00C25050"/>
    <w:pPr>
      <w:tabs>
        <w:tab w:val="center" w:pos="4153"/>
        <w:tab w:val="right" w:pos="8306"/>
      </w:tabs>
      <w:snapToGrid w:val="0"/>
      <w:jc w:val="center"/>
    </w:pPr>
    <w:rPr>
      <w:sz w:val="18"/>
      <w:szCs w:val="18"/>
    </w:rPr>
  </w:style>
  <w:style w:type="character" w:customStyle="1" w:styleId="a6">
    <w:name w:val="页眉 字符"/>
    <w:basedOn w:val="a0"/>
    <w:link w:val="a5"/>
    <w:rsid w:val="00C25050"/>
    <w:rPr>
      <w:rFonts w:ascii="Calibri" w:hAnsi="Calibri"/>
      <w:kern w:val="2"/>
      <w:sz w:val="18"/>
      <w:szCs w:val="18"/>
    </w:rPr>
  </w:style>
  <w:style w:type="paragraph" w:styleId="a7">
    <w:name w:val="footer"/>
    <w:basedOn w:val="a"/>
    <w:link w:val="a8"/>
    <w:rsid w:val="00C25050"/>
    <w:pPr>
      <w:tabs>
        <w:tab w:val="center" w:pos="4153"/>
        <w:tab w:val="right" w:pos="8306"/>
      </w:tabs>
      <w:snapToGrid w:val="0"/>
      <w:jc w:val="left"/>
    </w:pPr>
    <w:rPr>
      <w:sz w:val="18"/>
      <w:szCs w:val="18"/>
    </w:rPr>
  </w:style>
  <w:style w:type="character" w:customStyle="1" w:styleId="a8">
    <w:name w:val="页脚 字符"/>
    <w:basedOn w:val="a0"/>
    <w:link w:val="a7"/>
    <w:rsid w:val="00C25050"/>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507</Words>
  <Characters>513</Characters>
  <Application>Microsoft Office Word</Application>
  <DocSecurity>0</DocSecurity>
  <Lines>27</Lines>
  <Paragraphs>15</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Jeff Gong</cp:lastModifiedBy>
  <cp:revision>2</cp:revision>
  <dcterms:created xsi:type="dcterms:W3CDTF">2014-11-02T20:08:00Z</dcterms:created>
  <dcterms:modified xsi:type="dcterms:W3CDTF">2025-11-14T04:45:00Z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C5CB49BF740B428095EB44D9B36D155D</vt:lpwstr>
  </property>
</Properties>
</file>