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《长春市养老服务条例》</w:t>
      </w:r>
      <w:r>
        <w:rPr>
          <w:rFonts w:hint="eastAsia"/>
          <w:sz w:val="44"/>
          <w:szCs w:val="44"/>
          <w:lang w:val="en-US" w:eastAsia="zh-CN"/>
        </w:rPr>
        <w:t>政策解读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2024年4月</w:t>
      </w:r>
      <w:r>
        <w:rPr>
          <w:rFonts w:hint="eastAsia" w:ascii="仿宋_GB2312" w:hAnsi="仿宋_GB2312" w:eastAsia="仿宋_GB2312" w:cs="仿宋_GB2312"/>
          <w:sz w:val="32"/>
          <w:szCs w:val="32"/>
        </w:rPr>
        <w:t>16日，市人大常委会举办新闻发布会，发布省第十四届人民代表大会常务委员会第十次会议批准的《长春市养老服务条例》将于今年5月1日起施行。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《长春市养老服务条例》紧紧围绕我市养老服务的现实需要，针对当前我市养老服务发展存在的问题，明确了养老服务设施规划和建设、养老服务、医养康养结合、人才培养等方面的具体标准、服务对象及保障措施等，明确了促进养老服务增加供给、提质增效的方法路径，保障养老服务工作的规范化、制度化运行。《条例》明确居家社区养老的定义、政府在居家养老服务方面的职责，鼓励多元化主体开展居家社区养老服务，要求对小区设施进行适老化改造，建设无障碍设施，建设敬老餐厅等服务设施。加强医疗服务和养老服务的衔接、融合，鼓励养老服务与文化、旅游、家政等行业融合发展，依托气候、森林、温泉等资源，开展旅游康养、森林康养、温泉康养、运动康养等特色康养服务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N2E1MGEwODM4NmYyNWI4MThlYzJjMTllMDU0MjcifQ=="/>
  </w:docVars>
  <w:rsids>
    <w:rsidRoot w:val="0EE26D40"/>
    <w:rsid w:val="0EE2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2024-05-21T03:11:00Z</dcterms:created>
  <dc:creator>lenovo</dc:creator>
  <cp:lastModifiedBy>lenovo</cp:lastModifiedBy>
  <dcterms:modified xsi:type="dcterms:W3CDTF">2024-05-21T04:43:03Z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4A6EA15BBE0743E0A5F50F8889AF3008_11</vt:lpwstr>
  </property>
</Properties>
</file>